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2E9D5" w14:textId="487C5E5F" w:rsidR="006652F0" w:rsidRPr="006652F0" w:rsidRDefault="006652F0" w:rsidP="00991872">
      <w:pPr>
        <w:rPr>
          <w:rFonts w:eastAsia="Times New Roman"/>
          <w:b/>
          <w:bCs/>
          <w:color w:val="000000"/>
          <w:sz w:val="24"/>
          <w:szCs w:val="24"/>
          <w:u w:val="single"/>
        </w:rPr>
      </w:pPr>
      <w:r w:rsidRPr="006652F0">
        <w:rPr>
          <w:rFonts w:eastAsia="Times New Roman"/>
          <w:b/>
          <w:bCs/>
          <w:color w:val="000000"/>
          <w:sz w:val="24"/>
          <w:szCs w:val="24"/>
          <w:u w:val="single"/>
        </w:rPr>
        <w:t>Churchwarden Parochial Returns FAQ’s – February 26, 2021</w:t>
      </w:r>
    </w:p>
    <w:p w14:paraId="11129097" w14:textId="77777777" w:rsidR="006652F0" w:rsidRDefault="006652F0" w:rsidP="00991872">
      <w:pPr>
        <w:rPr>
          <w:rFonts w:eastAsia="Times New Roman"/>
          <w:color w:val="000000"/>
          <w:sz w:val="24"/>
          <w:szCs w:val="24"/>
        </w:rPr>
      </w:pPr>
    </w:p>
    <w:p w14:paraId="26106B78" w14:textId="02CE5924" w:rsidR="00D03E15" w:rsidRPr="00D03E15" w:rsidRDefault="006652F0" w:rsidP="00D03E15">
      <w:pPr>
        <w:pStyle w:val="ListParagraph"/>
        <w:numPr>
          <w:ilvl w:val="0"/>
          <w:numId w:val="2"/>
        </w:numPr>
        <w:rPr>
          <w:rFonts w:eastAsia="Times New Roman"/>
          <w:color w:val="000000"/>
          <w:sz w:val="24"/>
          <w:szCs w:val="24"/>
        </w:rPr>
      </w:pPr>
      <w:r>
        <w:rPr>
          <w:rFonts w:eastAsia="Times New Roman"/>
          <w:color w:val="000000"/>
          <w:sz w:val="24"/>
          <w:szCs w:val="24"/>
        </w:rPr>
        <w:t xml:space="preserve">Where do we include </w:t>
      </w:r>
      <w:r w:rsidR="00991872" w:rsidRPr="006652F0">
        <w:rPr>
          <w:rFonts w:eastAsia="Times New Roman"/>
          <w:color w:val="000000"/>
          <w:sz w:val="24"/>
          <w:szCs w:val="24"/>
        </w:rPr>
        <w:t>Curacy</w:t>
      </w:r>
      <w:r>
        <w:rPr>
          <w:rFonts w:eastAsia="Times New Roman"/>
          <w:color w:val="000000"/>
          <w:sz w:val="24"/>
          <w:szCs w:val="24"/>
        </w:rPr>
        <w:t xml:space="preserve"> Grants, New Hope Grant and other Diocesan Grants</w:t>
      </w:r>
      <w:r w:rsidR="00991872" w:rsidRPr="006652F0">
        <w:rPr>
          <w:rFonts w:eastAsia="Times New Roman"/>
          <w:color w:val="000000"/>
          <w:sz w:val="24"/>
          <w:szCs w:val="24"/>
        </w:rPr>
        <w:t xml:space="preserve"> for clergy</w:t>
      </w:r>
      <w:r>
        <w:rPr>
          <w:rFonts w:eastAsia="Times New Roman"/>
          <w:color w:val="000000"/>
          <w:sz w:val="24"/>
          <w:szCs w:val="24"/>
        </w:rPr>
        <w:t>?</w:t>
      </w:r>
    </w:p>
    <w:p w14:paraId="3F9D9C84" w14:textId="564FAF90" w:rsidR="00D03E15" w:rsidRDefault="006652F0" w:rsidP="00D03E15">
      <w:pPr>
        <w:pStyle w:val="ListParagraph"/>
      </w:pPr>
      <w:r>
        <w:t>C</w:t>
      </w:r>
      <w:r w:rsidR="00991872">
        <w:t>uracy grants and New Hope grants go on line 320 Diocesan grants, but the portion used towards clergy costs needs to be deducted from the clergy costs, as the associated costs cannot be deducted from assessable income when the income portion is not assessable.</w:t>
      </w:r>
    </w:p>
    <w:p w14:paraId="4A0F03D9" w14:textId="77777777" w:rsidR="00D03E15" w:rsidRPr="00D03E15" w:rsidRDefault="00D03E15" w:rsidP="00D03E15">
      <w:pPr>
        <w:pStyle w:val="ListParagraph"/>
        <w:rPr>
          <w:rFonts w:eastAsia="Times New Roman"/>
          <w:color w:val="000000"/>
          <w:sz w:val="24"/>
          <w:szCs w:val="24"/>
        </w:rPr>
      </w:pPr>
    </w:p>
    <w:p w14:paraId="77EBFF9C" w14:textId="77777777" w:rsidR="00D03E15" w:rsidRPr="00D03E15" w:rsidRDefault="006652F0" w:rsidP="008D07FA">
      <w:pPr>
        <w:pStyle w:val="ListParagraph"/>
        <w:numPr>
          <w:ilvl w:val="0"/>
          <w:numId w:val="2"/>
        </w:numPr>
      </w:pPr>
      <w:r w:rsidRPr="00D03E15">
        <w:rPr>
          <w:rFonts w:eastAsia="Times New Roman"/>
          <w:color w:val="000000"/>
          <w:sz w:val="24"/>
          <w:szCs w:val="24"/>
        </w:rPr>
        <w:t xml:space="preserve">Where do we include </w:t>
      </w:r>
      <w:r w:rsidR="00991872" w:rsidRPr="00D03E15">
        <w:rPr>
          <w:rFonts w:eastAsia="Times New Roman"/>
          <w:color w:val="000000"/>
          <w:sz w:val="24"/>
          <w:szCs w:val="24"/>
        </w:rPr>
        <w:t>Diocesan Jubilee</w:t>
      </w:r>
      <w:r w:rsidRPr="00D03E15">
        <w:rPr>
          <w:rFonts w:eastAsia="Times New Roman"/>
          <w:color w:val="000000"/>
          <w:sz w:val="24"/>
          <w:szCs w:val="24"/>
        </w:rPr>
        <w:t xml:space="preserve">, </w:t>
      </w:r>
      <w:r w:rsidR="00991872" w:rsidRPr="00D03E15">
        <w:rPr>
          <w:rFonts w:eastAsia="Times New Roman"/>
          <w:color w:val="000000"/>
          <w:sz w:val="24"/>
          <w:szCs w:val="24"/>
        </w:rPr>
        <w:t>Government grants including CEWS</w:t>
      </w:r>
      <w:r w:rsidR="00991872" w:rsidRPr="00D03E15">
        <w:rPr>
          <w:rFonts w:eastAsia="Times New Roman"/>
          <w:color w:val="000000"/>
          <w:sz w:val="24"/>
          <w:szCs w:val="24"/>
        </w:rPr>
        <w:t>, 10% Wage Subsidy</w:t>
      </w:r>
      <w:r w:rsidRPr="00D03E15">
        <w:rPr>
          <w:rFonts w:eastAsia="Times New Roman"/>
          <w:color w:val="000000"/>
          <w:sz w:val="24"/>
          <w:szCs w:val="24"/>
        </w:rPr>
        <w:t>?</w:t>
      </w:r>
    </w:p>
    <w:p w14:paraId="63D70893" w14:textId="0FC9440F" w:rsidR="00D03E15" w:rsidRDefault="00991872" w:rsidP="00D03E15">
      <w:pPr>
        <w:pStyle w:val="ListParagraph"/>
      </w:pPr>
      <w:r>
        <w:t>They should only be showing CEWS credits they have applied for on their own, and not the ones through monthly billing in line 375. The ones through monthly billing should only be entered on line 401 otherwise they will be assessed on those CEWS credits twice.</w:t>
      </w:r>
    </w:p>
    <w:p w14:paraId="3744A74D" w14:textId="77777777" w:rsidR="00D03E15" w:rsidRPr="00D03E15" w:rsidRDefault="00D03E15" w:rsidP="00D03E15">
      <w:pPr>
        <w:pStyle w:val="ListParagraph"/>
        <w:rPr>
          <w:rFonts w:eastAsia="Times New Roman"/>
          <w:color w:val="000000"/>
          <w:sz w:val="24"/>
          <w:szCs w:val="24"/>
        </w:rPr>
      </w:pPr>
    </w:p>
    <w:p w14:paraId="3076238F" w14:textId="38076C0F" w:rsidR="00D03E15" w:rsidRPr="00D03E15" w:rsidRDefault="00991872" w:rsidP="00D03E15">
      <w:pPr>
        <w:pStyle w:val="ListParagraph"/>
        <w:numPr>
          <w:ilvl w:val="0"/>
          <w:numId w:val="2"/>
        </w:numPr>
      </w:pPr>
      <w:r w:rsidRPr="00D03E15">
        <w:rPr>
          <w:rFonts w:eastAsia="Times New Roman"/>
          <w:color w:val="000000"/>
          <w:sz w:val="24"/>
          <w:szCs w:val="24"/>
        </w:rPr>
        <w:t>Allotment is included in General Operating or Miscellaneous?</w:t>
      </w:r>
    </w:p>
    <w:p w14:paraId="10521906" w14:textId="4EC2373E" w:rsidR="00D03E15" w:rsidRDefault="006652F0" w:rsidP="00D03E15">
      <w:pPr>
        <w:pStyle w:val="ListParagraph"/>
      </w:pPr>
      <w:r>
        <w:t>A</w:t>
      </w:r>
      <w:r>
        <w:t xml:space="preserve">llotment is </w:t>
      </w:r>
      <w:r>
        <w:t>to be</w:t>
      </w:r>
      <w:r>
        <w:t xml:space="preserve"> recorded with other expenses from 430 to 435 on line 430 which are not deductible. </w:t>
      </w:r>
    </w:p>
    <w:p w14:paraId="0BCE2609" w14:textId="77777777" w:rsidR="00D03E15" w:rsidRPr="00D03E15" w:rsidRDefault="00D03E15" w:rsidP="00D03E15">
      <w:pPr>
        <w:pStyle w:val="ListParagraph"/>
        <w:rPr>
          <w:rFonts w:eastAsia="Times New Roman"/>
          <w:color w:val="000000"/>
          <w:sz w:val="24"/>
          <w:szCs w:val="24"/>
        </w:rPr>
      </w:pPr>
    </w:p>
    <w:p w14:paraId="26D1B669" w14:textId="77777777" w:rsidR="00D03E15" w:rsidRPr="00D03E15" w:rsidRDefault="006652F0" w:rsidP="00C25F29">
      <w:pPr>
        <w:pStyle w:val="ListParagraph"/>
        <w:numPr>
          <w:ilvl w:val="0"/>
          <w:numId w:val="2"/>
        </w:numPr>
        <w:rPr>
          <w:rFonts w:eastAsia="Times New Roman"/>
        </w:rPr>
      </w:pPr>
      <w:r w:rsidRPr="00D03E15">
        <w:rPr>
          <w:rFonts w:eastAsia="Times New Roman"/>
          <w:color w:val="000000"/>
          <w:sz w:val="24"/>
          <w:szCs w:val="24"/>
        </w:rPr>
        <w:t>For Row 370, are we to include unrealized losses on our investments (held at the Diocese)?</w:t>
      </w:r>
    </w:p>
    <w:p w14:paraId="64F6B8F7" w14:textId="051B274B" w:rsidR="00D03E15" w:rsidRPr="00D03E15" w:rsidRDefault="006652F0" w:rsidP="00D03E15">
      <w:pPr>
        <w:pStyle w:val="ListParagraph"/>
        <w:rPr>
          <w:rFonts w:eastAsia="Times New Roman"/>
        </w:rPr>
      </w:pPr>
      <w:r w:rsidRPr="00D03E15">
        <w:rPr>
          <w:rFonts w:eastAsia="Times New Roman"/>
        </w:rPr>
        <w:t xml:space="preserve">No do not include on line 370. Unrealized gains and losses do not get included on the return at all, as this is more of a cash basis return. </w:t>
      </w:r>
    </w:p>
    <w:p w14:paraId="0F9B213C" w14:textId="3DF15731" w:rsidR="006652F0" w:rsidRDefault="006652F0" w:rsidP="00991872">
      <w:pPr>
        <w:rPr>
          <w:rFonts w:eastAsia="Times New Roman"/>
          <w:color w:val="000000"/>
          <w:sz w:val="24"/>
          <w:szCs w:val="24"/>
        </w:rPr>
      </w:pPr>
    </w:p>
    <w:p w14:paraId="6EAABC3A" w14:textId="72B05A58" w:rsidR="00D03E15" w:rsidRDefault="00D03E15" w:rsidP="00991872">
      <w:pPr>
        <w:rPr>
          <w:rFonts w:eastAsia="Times New Roman"/>
          <w:color w:val="000000"/>
          <w:sz w:val="24"/>
          <w:szCs w:val="24"/>
        </w:rPr>
      </w:pPr>
      <w:r>
        <w:rPr>
          <w:rFonts w:eastAsia="Times New Roman"/>
          <w:color w:val="000000"/>
          <w:sz w:val="24"/>
          <w:szCs w:val="24"/>
        </w:rPr>
        <w:t xml:space="preserve">The </w:t>
      </w:r>
      <w:r w:rsidRPr="00D03E15">
        <w:rPr>
          <w:rFonts w:eastAsia="Times New Roman"/>
          <w:color w:val="000000"/>
          <w:sz w:val="24"/>
          <w:szCs w:val="24"/>
        </w:rPr>
        <w:t>Churchwardens Parochial Return Handbook</w:t>
      </w:r>
      <w:r>
        <w:rPr>
          <w:rFonts w:eastAsia="Times New Roman"/>
          <w:color w:val="000000"/>
          <w:sz w:val="24"/>
          <w:szCs w:val="24"/>
        </w:rPr>
        <w:t xml:space="preserve"> has been updated on the website </w:t>
      </w:r>
    </w:p>
    <w:p w14:paraId="7286E9D0" w14:textId="4B7842EB" w:rsidR="00D03E15" w:rsidRDefault="00D03E15" w:rsidP="00991872">
      <w:pPr>
        <w:rPr>
          <w:rFonts w:eastAsia="Times New Roman"/>
          <w:color w:val="000000"/>
          <w:sz w:val="24"/>
          <w:szCs w:val="24"/>
        </w:rPr>
      </w:pPr>
      <w:hyperlink r:id="rId5" w:history="1">
        <w:r w:rsidRPr="00F4755A">
          <w:rPr>
            <w:rStyle w:val="Hyperlink"/>
            <w:rFonts w:eastAsia="Times New Roman"/>
            <w:sz w:val="24"/>
            <w:szCs w:val="24"/>
          </w:rPr>
          <w:t>https://www.toronto.anglican.ca/wp-content/uploads/2021/02/2020-CWPR-Handbook-1.pdf</w:t>
        </w:r>
      </w:hyperlink>
    </w:p>
    <w:p w14:paraId="2332485C" w14:textId="249FD8FF" w:rsidR="00D03E15" w:rsidRDefault="00D03E15" w:rsidP="00991872">
      <w:pPr>
        <w:rPr>
          <w:rFonts w:eastAsia="Times New Roman"/>
          <w:color w:val="000000"/>
          <w:sz w:val="24"/>
          <w:szCs w:val="24"/>
        </w:rPr>
      </w:pPr>
    </w:p>
    <w:p w14:paraId="23547812" w14:textId="3FF67C1C" w:rsidR="00D03E15" w:rsidRDefault="00D03E15" w:rsidP="00991872">
      <w:pPr>
        <w:rPr>
          <w:rFonts w:eastAsia="Times New Roman"/>
          <w:color w:val="000000"/>
          <w:sz w:val="24"/>
          <w:szCs w:val="24"/>
        </w:rPr>
      </w:pPr>
      <w:r>
        <w:rPr>
          <w:rFonts w:eastAsia="Times New Roman"/>
          <w:color w:val="000000"/>
          <w:sz w:val="24"/>
          <w:szCs w:val="24"/>
        </w:rPr>
        <w:t xml:space="preserve">The </w:t>
      </w:r>
      <w:r w:rsidRPr="00D03E15">
        <w:rPr>
          <w:rFonts w:eastAsia="Times New Roman"/>
          <w:color w:val="000000"/>
          <w:sz w:val="24"/>
          <w:szCs w:val="24"/>
        </w:rPr>
        <w:t xml:space="preserve">Churchwarden Annual Return Quick Guide </w:t>
      </w:r>
      <w:r>
        <w:rPr>
          <w:rFonts w:eastAsia="Times New Roman"/>
          <w:color w:val="000000"/>
          <w:sz w:val="24"/>
          <w:szCs w:val="24"/>
        </w:rPr>
        <w:t>has also been uploaded to the website</w:t>
      </w:r>
    </w:p>
    <w:p w14:paraId="1EC85B5F" w14:textId="557D7DE1" w:rsidR="00D03E15" w:rsidRDefault="00D03E15" w:rsidP="00991872">
      <w:pPr>
        <w:rPr>
          <w:rFonts w:eastAsia="Times New Roman"/>
          <w:color w:val="000000"/>
          <w:sz w:val="24"/>
          <w:szCs w:val="24"/>
        </w:rPr>
      </w:pPr>
      <w:hyperlink r:id="rId6" w:history="1">
        <w:r w:rsidRPr="00F4755A">
          <w:rPr>
            <w:rStyle w:val="Hyperlink"/>
            <w:rFonts w:eastAsia="Times New Roman"/>
            <w:sz w:val="24"/>
            <w:szCs w:val="24"/>
          </w:rPr>
          <w:t>https://www.toronto.anglican.ca/wp-content/uploads/2021/02/2020-annual_cwpr_quick_guide.pdf</w:t>
        </w:r>
      </w:hyperlink>
    </w:p>
    <w:p w14:paraId="6209DDD2" w14:textId="77777777" w:rsidR="00D03E15" w:rsidRDefault="00D03E15" w:rsidP="00991872">
      <w:pPr>
        <w:rPr>
          <w:rFonts w:eastAsia="Times New Roman"/>
          <w:color w:val="000000"/>
          <w:sz w:val="24"/>
          <w:szCs w:val="24"/>
        </w:rPr>
      </w:pPr>
    </w:p>
    <w:p w14:paraId="11022EB5" w14:textId="77777777" w:rsidR="00991872" w:rsidRDefault="00991872"/>
    <w:sectPr w:rsidR="00991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736C5"/>
    <w:multiLevelType w:val="hybridMultilevel"/>
    <w:tmpl w:val="CCBC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63191"/>
    <w:multiLevelType w:val="hybridMultilevel"/>
    <w:tmpl w:val="B016B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872"/>
    <w:rsid w:val="006652F0"/>
    <w:rsid w:val="00991872"/>
    <w:rsid w:val="00D0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66DD"/>
  <w15:chartTrackingRefBased/>
  <w15:docId w15:val="{DD4F69ED-5768-4A86-91EC-498FBAB6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8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F0"/>
    <w:pPr>
      <w:ind w:left="720"/>
    </w:pPr>
  </w:style>
  <w:style w:type="character" w:styleId="Hyperlink">
    <w:name w:val="Hyperlink"/>
    <w:basedOn w:val="DefaultParagraphFont"/>
    <w:uiPriority w:val="99"/>
    <w:unhideWhenUsed/>
    <w:rsid w:val="00D03E15"/>
    <w:rPr>
      <w:color w:val="0563C1" w:themeColor="hyperlink"/>
      <w:u w:val="single"/>
    </w:rPr>
  </w:style>
  <w:style w:type="character" w:styleId="UnresolvedMention">
    <w:name w:val="Unresolved Mention"/>
    <w:basedOn w:val="DefaultParagraphFont"/>
    <w:uiPriority w:val="99"/>
    <w:semiHidden/>
    <w:unhideWhenUsed/>
    <w:rsid w:val="00D03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22337">
      <w:bodyDiv w:val="1"/>
      <w:marLeft w:val="0"/>
      <w:marRight w:val="0"/>
      <w:marTop w:val="0"/>
      <w:marBottom w:val="0"/>
      <w:divBdr>
        <w:top w:val="none" w:sz="0" w:space="0" w:color="auto"/>
        <w:left w:val="none" w:sz="0" w:space="0" w:color="auto"/>
        <w:bottom w:val="none" w:sz="0" w:space="0" w:color="auto"/>
        <w:right w:val="none" w:sz="0" w:space="0" w:color="auto"/>
      </w:divBdr>
    </w:div>
    <w:div w:id="1196580793">
      <w:bodyDiv w:val="1"/>
      <w:marLeft w:val="0"/>
      <w:marRight w:val="0"/>
      <w:marTop w:val="0"/>
      <w:marBottom w:val="0"/>
      <w:divBdr>
        <w:top w:val="none" w:sz="0" w:space="0" w:color="auto"/>
        <w:left w:val="none" w:sz="0" w:space="0" w:color="auto"/>
        <w:bottom w:val="none" w:sz="0" w:space="0" w:color="auto"/>
        <w:right w:val="none" w:sz="0" w:space="0" w:color="auto"/>
      </w:divBdr>
    </w:div>
    <w:div w:id="1389719266">
      <w:bodyDiv w:val="1"/>
      <w:marLeft w:val="0"/>
      <w:marRight w:val="0"/>
      <w:marTop w:val="0"/>
      <w:marBottom w:val="0"/>
      <w:divBdr>
        <w:top w:val="none" w:sz="0" w:space="0" w:color="auto"/>
        <w:left w:val="none" w:sz="0" w:space="0" w:color="auto"/>
        <w:bottom w:val="none" w:sz="0" w:space="0" w:color="auto"/>
        <w:right w:val="none" w:sz="0" w:space="0" w:color="auto"/>
      </w:divBdr>
    </w:div>
    <w:div w:id="184381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ronto.anglican.ca/wp-content/uploads/2021/02/2020-annual_cwpr_quick_guide.pdf" TargetMode="External"/><Relationship Id="rId5" Type="http://schemas.openxmlformats.org/officeDocument/2006/relationships/hyperlink" Target="https://www.toronto.anglican.ca/wp-content/uploads/2021/02/2020-CWPR-Handbook-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Stilling</dc:creator>
  <cp:keywords/>
  <dc:description/>
  <cp:lastModifiedBy>Keri Stilling</cp:lastModifiedBy>
  <cp:revision>1</cp:revision>
  <dcterms:created xsi:type="dcterms:W3CDTF">2021-02-25T22:38:00Z</dcterms:created>
  <dcterms:modified xsi:type="dcterms:W3CDTF">2021-02-25T23:05:00Z</dcterms:modified>
</cp:coreProperties>
</file>