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7693" w14:textId="09ADF024" w:rsidR="004F511C" w:rsidRDefault="00152132" w:rsidP="004F511C">
      <w:pPr>
        <w:pStyle w:val="Heading2"/>
        <w:jc w:val="center"/>
        <w:rPr>
          <w:b/>
          <w:bCs/>
        </w:rPr>
      </w:pPr>
      <w:r w:rsidRPr="004F511C">
        <w:rPr>
          <w:b/>
          <w:bCs/>
        </w:rPr>
        <w:t xml:space="preserve">Further reading on </w:t>
      </w:r>
      <w:r w:rsidR="00C04A74" w:rsidRPr="004F511C">
        <w:rPr>
          <w:b/>
          <w:bCs/>
        </w:rPr>
        <w:t>the 2022 Social Justice Vestry Motion: Justice for Workers</w:t>
      </w:r>
    </w:p>
    <w:p w14:paraId="70E24AE0" w14:textId="77777777" w:rsidR="004F511C" w:rsidRPr="004F511C" w:rsidRDefault="004F511C" w:rsidP="004F511C"/>
    <w:p w14:paraId="5B55D02C" w14:textId="0C2C9D74" w:rsidR="00C04A74" w:rsidRPr="004F511C" w:rsidRDefault="00CC0E23" w:rsidP="004F511C">
      <w:pPr>
        <w:pStyle w:val="Heading3"/>
        <w:rPr>
          <w:b/>
          <w:bCs/>
        </w:rPr>
      </w:pPr>
      <w:r w:rsidRPr="004F511C">
        <w:rPr>
          <w:b/>
          <w:bCs/>
        </w:rPr>
        <w:t>Paid Sick Days</w:t>
      </w:r>
      <w:r w:rsidR="004F511C">
        <w:rPr>
          <w:b/>
          <w:bCs/>
        </w:rPr>
        <w:t>:</w:t>
      </w:r>
    </w:p>
    <w:p w14:paraId="5B559DE8" w14:textId="77777777" w:rsidR="00394BD7" w:rsidRDefault="00454766">
      <w:r>
        <w:t>Decent Work and Health Network: “Before It’s Too Late: How to close the Paid Sick Days Gap</w:t>
      </w:r>
      <w:r w:rsidR="004E09B9">
        <w:t xml:space="preserve"> During COVID-19 and Beyond”</w:t>
      </w:r>
      <w:r w:rsidR="00394BD7">
        <w:t xml:space="preserve"> </w:t>
      </w:r>
      <w:hyperlink r:id="rId4" w:history="1">
        <w:r w:rsidR="00394BD7" w:rsidRPr="00567F3A">
          <w:rPr>
            <w:rStyle w:val="Hyperlink"/>
          </w:rPr>
          <w:t>https://d3n8a8pro7vhmx.cloudfront.net/dwhn/pages/135/attachments/original/1604082294/DWHN_BeforeItsTooLate.pdf?1604082294</w:t>
        </w:r>
      </w:hyperlink>
      <w:r w:rsidR="004E09B9" w:rsidRPr="004E09B9">
        <w:t xml:space="preserve"> </w:t>
      </w:r>
    </w:p>
    <w:p w14:paraId="7BDC131B" w14:textId="3E7ED949" w:rsidR="00454766" w:rsidRDefault="004E09B9">
      <w:r w:rsidRPr="004E09B9">
        <w:t>[Note</w:t>
      </w:r>
      <w:r>
        <w:t>:</w:t>
      </w:r>
      <w:r w:rsidRPr="004E09B9">
        <w:t xml:space="preserve"> this </w:t>
      </w:r>
      <w:r>
        <w:t xml:space="preserve">report </w:t>
      </w:r>
      <w:r w:rsidRPr="004E09B9">
        <w:t>was published in 2020 and called for “at least 7 permanent paid sick days;” since then the Decent Work and Health Network has raised their ask to 10 permanent paid sick days</w:t>
      </w:r>
      <w:r w:rsidR="00BA6932">
        <w:t>,</w:t>
      </w:r>
      <w:r>
        <w:t xml:space="preserve"> which is reflected in our motion</w:t>
      </w:r>
      <w:r w:rsidRPr="004E09B9">
        <w:t>]</w:t>
      </w:r>
    </w:p>
    <w:p w14:paraId="0D04351E" w14:textId="757B3A63" w:rsidR="00BA6932" w:rsidRDefault="00BA6932">
      <w:hyperlink r:id="rId5" w:history="1">
        <w:r w:rsidRPr="00567F3A">
          <w:rPr>
            <w:rStyle w:val="Hyperlink"/>
          </w:rPr>
          <w:t>https://workersactioncentre.org/wp-content/uploads/2020/05/Implementing-10-days-of-paid-sick-leave-May-2020.pdf</w:t>
        </w:r>
      </w:hyperlink>
      <w:r>
        <w:t xml:space="preserve"> </w:t>
      </w:r>
    </w:p>
    <w:p w14:paraId="7D67B4D9" w14:textId="0BCABDB2" w:rsidR="00152132" w:rsidRDefault="00CC0E23">
      <w:hyperlink r:id="rId6" w:history="1">
        <w:r w:rsidRPr="00567F3A">
          <w:rPr>
            <w:rStyle w:val="Hyperlink"/>
          </w:rPr>
          <w:t>https://theonn.ca/wp-content/uploads/2021/05/Open-Letter-by-Nonprofit-Sector-Urging-Premier-Ford-to-Institute-Adequate-Permanent-Paid-Sick-Days.pdf</w:t>
        </w:r>
      </w:hyperlink>
      <w:r>
        <w:t xml:space="preserve"> </w:t>
      </w:r>
    </w:p>
    <w:p w14:paraId="7073B8B3" w14:textId="7044EB8A" w:rsidR="00C77832" w:rsidRDefault="004F511C">
      <w:hyperlink r:id="rId7" w:history="1">
        <w:r w:rsidR="00152132" w:rsidRPr="009A526E">
          <w:rPr>
            <w:rStyle w:val="Hyperlink"/>
          </w:rPr>
          <w:t>https://covid19-sciencetable.ca/sciencebrief/benefits-of-paid-sick-leave-during-the-covid-19-pandemic/</w:t>
        </w:r>
      </w:hyperlink>
    </w:p>
    <w:p w14:paraId="5CB27592" w14:textId="69809EB5" w:rsidR="00CC0E23" w:rsidRPr="00394BD7" w:rsidRDefault="004F511C">
      <w:pPr>
        <w:rPr>
          <w:rStyle w:val="Hyperlink"/>
        </w:rPr>
      </w:pPr>
      <w:hyperlink r:id="rId8" w:history="1">
        <w:r w:rsidR="005D0E1D" w:rsidRPr="004433E5">
          <w:rPr>
            <w:rStyle w:val="Hyperlink"/>
          </w:rPr>
          <w:t>https://www.cbc.ca/news/business/how-offering-employees-paid-sick-leave-can-pay-off-for-businesses-1.6009166</w:t>
        </w:r>
      </w:hyperlink>
    </w:p>
    <w:p w14:paraId="4F58C398" w14:textId="3253D2C5" w:rsidR="00394BD7" w:rsidRPr="004F511C" w:rsidRDefault="00CC0E23" w:rsidP="004F511C">
      <w:pPr>
        <w:pStyle w:val="Heading3"/>
        <w:rPr>
          <w:b/>
          <w:bCs/>
        </w:rPr>
      </w:pPr>
      <w:r w:rsidRPr="004F511C">
        <w:rPr>
          <w:rStyle w:val="Hyperlink"/>
          <w:b/>
          <w:bCs/>
          <w:color w:val="1F3763" w:themeColor="accent1" w:themeShade="7F"/>
          <w:u w:val="none"/>
        </w:rPr>
        <w:t>Work Hours</w:t>
      </w:r>
      <w:r w:rsidR="004E09B9" w:rsidRPr="004F511C">
        <w:rPr>
          <w:rStyle w:val="Hyperlink"/>
          <w:b/>
          <w:bCs/>
          <w:color w:val="1F3763" w:themeColor="accent1" w:themeShade="7F"/>
          <w:u w:val="none"/>
        </w:rPr>
        <w:t xml:space="preserve"> and Scheduling</w:t>
      </w:r>
      <w:r w:rsidR="004F511C" w:rsidRPr="004F511C">
        <w:rPr>
          <w:rStyle w:val="Hyperlink"/>
          <w:b/>
          <w:bCs/>
          <w:color w:val="1F3763" w:themeColor="accent1" w:themeShade="7F"/>
          <w:u w:val="none"/>
        </w:rPr>
        <w:t>:</w:t>
      </w:r>
    </w:p>
    <w:p w14:paraId="740A3ED4" w14:textId="176EDA2C" w:rsidR="005D0E1D" w:rsidRDefault="004F511C">
      <w:hyperlink r:id="rId9" w:history="1">
        <w:r w:rsidR="00927F42" w:rsidRPr="004433E5">
          <w:rPr>
            <w:rStyle w:val="Hyperlink"/>
          </w:rPr>
          <w:t>https://www.macleans.ca/society/</w:t>
        </w:r>
        <w:r w:rsidR="00927F42" w:rsidRPr="004433E5">
          <w:rPr>
            <w:rStyle w:val="Hyperlink"/>
          </w:rPr>
          <w:t>f</w:t>
        </w:r>
        <w:r w:rsidR="00927F42" w:rsidRPr="004433E5">
          <w:rPr>
            <w:rStyle w:val="Hyperlink"/>
          </w:rPr>
          <w:t>ear-and-exhaustion-working-as-a-psw-in-long-term-care-during-the-coronavirus/</w:t>
        </w:r>
      </w:hyperlink>
    </w:p>
    <w:p w14:paraId="0D0D9B35" w14:textId="7B14BDD4" w:rsidR="00927F42" w:rsidRDefault="004F511C">
      <w:pPr>
        <w:rPr>
          <w:rStyle w:val="Hyperlink"/>
        </w:rPr>
      </w:pPr>
      <w:hyperlink r:id="rId10" w:history="1">
        <w:r w:rsidR="00927F42" w:rsidRPr="004433E5">
          <w:rPr>
            <w:rStyle w:val="Hyperlink"/>
          </w:rPr>
          <w:t>https://www.ctvnews.ca/health/coronavirus/where-the-tragedy-really-lies-the-crisis-in-canada-s-long-term-care-homes-1.4927328</w:t>
        </w:r>
      </w:hyperlink>
    </w:p>
    <w:p w14:paraId="65C35A49" w14:textId="1338417E" w:rsidR="00C6228A" w:rsidRDefault="004F511C">
      <w:hyperlink r:id="rId11" w:history="1">
        <w:r w:rsidR="00C6228A" w:rsidRPr="00F8111B">
          <w:rPr>
            <w:rStyle w:val="Hyperlink"/>
          </w:rPr>
          <w:t>https://www.brookings.edu/blog/up-front/2020/08/18/unpredictable-work-hours-and-volatile-incomes-are-long-term-risks-for-american-workers/</w:t>
        </w:r>
      </w:hyperlink>
      <w:r w:rsidR="00C6228A">
        <w:t xml:space="preserve"> </w:t>
      </w:r>
    </w:p>
    <w:p w14:paraId="6509FECA" w14:textId="58494C40" w:rsidR="00394BD7" w:rsidRPr="004F511C" w:rsidRDefault="00394BD7" w:rsidP="004F511C">
      <w:pPr>
        <w:pStyle w:val="Heading3"/>
        <w:rPr>
          <w:b/>
          <w:bCs/>
        </w:rPr>
      </w:pPr>
      <w:r w:rsidRPr="004F511C">
        <w:rPr>
          <w:b/>
          <w:bCs/>
        </w:rPr>
        <w:t>Pay Equity for Part-Time, Casual, Temporary and Seasonal Employees</w:t>
      </w:r>
    </w:p>
    <w:p w14:paraId="56BC9D23" w14:textId="77777777" w:rsidR="00E57F17" w:rsidRDefault="00394BD7">
      <w:r>
        <w:t xml:space="preserve">Changing Workplaces Review Final Report (May 2017) </w:t>
      </w:r>
      <w:hyperlink r:id="rId12" w:history="1">
        <w:r w:rsidR="00E57F17" w:rsidRPr="00E57F17">
          <w:rPr>
            <w:rStyle w:val="Hyperlink"/>
          </w:rPr>
          <w:t>https://www.labour.gov.on.ca/english/about/workplace/</w:t>
        </w:r>
      </w:hyperlink>
      <w:r w:rsidR="00E57F17" w:rsidRPr="00E57F17">
        <w:t xml:space="preserve"> </w:t>
      </w:r>
    </w:p>
    <w:p w14:paraId="0EFF0C1E" w14:textId="0873E397" w:rsidR="00394BD7" w:rsidRDefault="00E57F17">
      <w:r>
        <w:t xml:space="preserve">Many of the recommendations of this report were implemented in the “Fair Workplaces, Better Jobs Act” (Bill 148) in Nov. 2017.  However, the pay equity provisions, among others, were repealed by the “Making Ontario Open </w:t>
      </w:r>
      <w:proofErr w:type="gramStart"/>
      <w:r>
        <w:t>For</w:t>
      </w:r>
      <w:proofErr w:type="gramEnd"/>
      <w:r>
        <w:t xml:space="preserve"> Business Act” (Bill 47) in October 2018.</w:t>
      </w:r>
    </w:p>
    <w:p w14:paraId="0C9696CB" w14:textId="67AF54D1" w:rsidR="004F511C" w:rsidRDefault="00956C94">
      <w:r>
        <w:t xml:space="preserve">Workers’ Action Centre, Submission to the Ontario Workforce Recovery Advisory Committee </w:t>
      </w:r>
      <w:hyperlink r:id="rId13" w:history="1">
        <w:r w:rsidRPr="00567F3A">
          <w:rPr>
            <w:rStyle w:val="Hyperlink"/>
          </w:rPr>
          <w:t>https://workersactioncentre.org/wp-content/uploads/2021/07/WAC-PCLS-submission-OWRAC.pdf</w:t>
        </w:r>
      </w:hyperlink>
      <w:r>
        <w:t xml:space="preserve"> </w:t>
      </w:r>
    </w:p>
    <w:p w14:paraId="57A158E8" w14:textId="21AB8719" w:rsidR="004F511C" w:rsidRDefault="004F511C" w:rsidP="004F511C">
      <w:pPr>
        <w:jc w:val="right"/>
      </w:pPr>
      <w:r>
        <w:rPr>
          <w:noProof/>
        </w:rPr>
        <w:drawing>
          <wp:inline distT="0" distB="0" distL="0" distR="0" wp14:anchorId="4C6A9084" wp14:editId="40975A1E">
            <wp:extent cx="1018954" cy="8763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1" cy="891236"/>
                    </a:xfrm>
                    <a:prstGeom prst="rect">
                      <a:avLst/>
                    </a:prstGeom>
                  </pic:spPr>
                </pic:pic>
              </a:graphicData>
            </a:graphic>
          </wp:inline>
        </w:drawing>
      </w:r>
    </w:p>
    <w:sectPr w:rsidR="004F51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71"/>
    <w:rsid w:val="00066E71"/>
    <w:rsid w:val="00152132"/>
    <w:rsid w:val="0017432C"/>
    <w:rsid w:val="00394BD7"/>
    <w:rsid w:val="00454766"/>
    <w:rsid w:val="004E09B9"/>
    <w:rsid w:val="004F511C"/>
    <w:rsid w:val="005D0E1D"/>
    <w:rsid w:val="007F5918"/>
    <w:rsid w:val="00927F42"/>
    <w:rsid w:val="00956C94"/>
    <w:rsid w:val="00BA6932"/>
    <w:rsid w:val="00C04A74"/>
    <w:rsid w:val="00C6228A"/>
    <w:rsid w:val="00C77832"/>
    <w:rsid w:val="00CC0E23"/>
    <w:rsid w:val="00E57F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A2D2"/>
  <w15:chartTrackingRefBased/>
  <w15:docId w15:val="{A27E6C7F-8F25-489B-9158-EEF3AB59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1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51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51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E1D"/>
    <w:rPr>
      <w:color w:val="0563C1" w:themeColor="hyperlink"/>
      <w:u w:val="single"/>
    </w:rPr>
  </w:style>
  <w:style w:type="character" w:styleId="UnresolvedMention">
    <w:name w:val="Unresolved Mention"/>
    <w:basedOn w:val="DefaultParagraphFont"/>
    <w:uiPriority w:val="99"/>
    <w:semiHidden/>
    <w:unhideWhenUsed/>
    <w:rsid w:val="005D0E1D"/>
    <w:rPr>
      <w:color w:val="605E5C"/>
      <w:shd w:val="clear" w:color="auto" w:fill="E1DFDD"/>
    </w:rPr>
  </w:style>
  <w:style w:type="character" w:styleId="FollowedHyperlink">
    <w:name w:val="FollowedHyperlink"/>
    <w:basedOn w:val="DefaultParagraphFont"/>
    <w:uiPriority w:val="99"/>
    <w:semiHidden/>
    <w:unhideWhenUsed/>
    <w:rsid w:val="00CC0E23"/>
    <w:rPr>
      <w:color w:val="954F72" w:themeColor="followedHyperlink"/>
      <w:u w:val="single"/>
    </w:rPr>
  </w:style>
  <w:style w:type="character" w:customStyle="1" w:styleId="Heading1Char">
    <w:name w:val="Heading 1 Char"/>
    <w:basedOn w:val="DefaultParagraphFont"/>
    <w:link w:val="Heading1"/>
    <w:uiPriority w:val="9"/>
    <w:rsid w:val="004F51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51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511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business/how-offering-employees-paid-sick-leave-can-pay-off-for-businesses-1.6009166" TargetMode="External"/><Relationship Id="rId13" Type="http://schemas.openxmlformats.org/officeDocument/2006/relationships/hyperlink" Target="https://workersactioncentre.org/wp-content/uploads/2021/07/WAC-PCLS-submission-OWRAC.pdf" TargetMode="External"/><Relationship Id="rId3" Type="http://schemas.openxmlformats.org/officeDocument/2006/relationships/webSettings" Target="webSettings.xml"/><Relationship Id="rId7" Type="http://schemas.openxmlformats.org/officeDocument/2006/relationships/hyperlink" Target="https://covid19-sciencetable.ca/sciencebrief/benefits-of-paid-sick-leave-during-the-covid-19-pandemic/" TargetMode="External"/><Relationship Id="rId12" Type="http://schemas.openxmlformats.org/officeDocument/2006/relationships/hyperlink" Target="https://www.labour.gov.on.ca/english/about/workplac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eonn.ca/wp-content/uploads/2021/05/Open-Letter-by-Nonprofit-Sector-Urging-Premier-Ford-to-Institute-Adequate-Permanent-Paid-Sick-Days.pdf" TargetMode="External"/><Relationship Id="rId11" Type="http://schemas.openxmlformats.org/officeDocument/2006/relationships/hyperlink" Target="https://www.brookings.edu/blog/up-front/2020/08/18/unpredictable-work-hours-and-volatile-incomes-are-long-term-risks-for-american-workers/" TargetMode="External"/><Relationship Id="rId5" Type="http://schemas.openxmlformats.org/officeDocument/2006/relationships/hyperlink" Target="https://workersactioncentre.org/wp-content/uploads/2020/05/Implementing-10-days-of-paid-sick-leave-May-2020.pdf" TargetMode="External"/><Relationship Id="rId15" Type="http://schemas.openxmlformats.org/officeDocument/2006/relationships/fontTable" Target="fontTable.xml"/><Relationship Id="rId10" Type="http://schemas.openxmlformats.org/officeDocument/2006/relationships/hyperlink" Target="https://www.ctvnews.ca/health/coronavirus/where-the-tragedy-really-lies-the-crisis-in-canada-s-long-term-care-homes-1.4927328" TargetMode="External"/><Relationship Id="rId4" Type="http://schemas.openxmlformats.org/officeDocument/2006/relationships/hyperlink" Target="https://d3n8a8pro7vhmx.cloudfront.net/dwhn/pages/135/attachments/original/1604082294/DWHN_BeforeItsTooLate.pdf?1604082294" TargetMode="External"/><Relationship Id="rId9" Type="http://schemas.openxmlformats.org/officeDocument/2006/relationships/hyperlink" Target="https://www.macleans.ca/society/fear-and-exhaustion-working-as-a-psw-in-long-term-care-during-the-coronaviru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2896</Characters>
  <Application>Microsoft Office Word</Application>
  <DocSecurity>0</DocSecurity>
  <Lines>82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Elin Goulden</cp:lastModifiedBy>
  <cp:revision>2</cp:revision>
  <dcterms:created xsi:type="dcterms:W3CDTF">2022-02-01T20:14:00Z</dcterms:created>
  <dcterms:modified xsi:type="dcterms:W3CDTF">2022-02-01T20:14:00Z</dcterms:modified>
</cp:coreProperties>
</file>