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55" w:left="1838" w:firstLine="0"/>
        <w:jc w:val="center"/>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 </w:t>
      </w:r>
    </w:p>
    <w:p>
      <w:pPr>
        <w:spacing w:before="0" w:after="567" w:line="259"/>
        <w:ind w:right="0" w:left="5782" w:firstLine="0"/>
        <w:jc w:val="left"/>
        <w:rPr>
          <w:rFonts w:ascii="Garamond" w:hAnsi="Garamond" w:cs="Garamond" w:eastAsia="Garamond"/>
          <w:color w:val="000000"/>
          <w:spacing w:val="0"/>
          <w:position w:val="0"/>
          <w:sz w:val="24"/>
          <w:shd w:fill="auto" w:val="clear"/>
        </w:rPr>
      </w:pPr>
      <w:r>
        <w:object w:dxaOrig="3435" w:dyaOrig="748">
          <v:rect xmlns:o="urn:schemas-microsoft-com:office:office" xmlns:v="urn:schemas-microsoft-com:vml" id="rectole0000000000" style="width:171.750000pt;height:37.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40" w:line="259"/>
        <w:ind w:right="60" w:left="0" w:firstLine="0"/>
        <w:jc w:val="center"/>
        <w:rPr>
          <w:rFonts w:ascii="Garamond" w:hAnsi="Garamond" w:cs="Garamond" w:eastAsia="Garamond"/>
          <w:b/>
          <w:color w:val="000000"/>
          <w:spacing w:val="0"/>
          <w:position w:val="0"/>
          <w:sz w:val="28"/>
          <w:shd w:fill="auto" w:val="clear"/>
        </w:rPr>
      </w:pPr>
      <w:r>
        <w:rPr>
          <w:rFonts w:ascii="Garamond" w:hAnsi="Garamond" w:cs="Garamond" w:eastAsia="Garamond"/>
          <w:b/>
          <w:color w:val="000000"/>
          <w:spacing w:val="0"/>
          <w:position w:val="0"/>
          <w:sz w:val="28"/>
          <w:shd w:fill="auto" w:val="clear"/>
        </w:rPr>
        <w:t xml:space="preserve">Cowling Bursary</w:t>
      </w:r>
    </w:p>
    <w:p>
      <w:pPr>
        <w:spacing w:before="0" w:after="140" w:line="259"/>
        <w:ind w:right="60" w:left="0" w:firstLine="0"/>
        <w:jc w:val="center"/>
        <w:rPr>
          <w:rFonts w:ascii="Garamond" w:hAnsi="Garamond" w:cs="Garamond" w:eastAsia="Garamond"/>
          <w:b/>
          <w:color w:val="000000"/>
          <w:spacing w:val="0"/>
          <w:position w:val="0"/>
          <w:sz w:val="28"/>
          <w:shd w:fill="auto" w:val="clear"/>
        </w:rPr>
      </w:pPr>
      <w:r>
        <w:rPr>
          <w:rFonts w:ascii="Garamond" w:hAnsi="Garamond" w:cs="Garamond" w:eastAsia="Garamond"/>
          <w:b/>
          <w:color w:val="000000"/>
          <w:spacing w:val="0"/>
          <w:position w:val="0"/>
          <w:sz w:val="28"/>
          <w:shd w:fill="auto" w:val="clear"/>
        </w:rPr>
        <w:t xml:space="preserve">Criteria for Awarding Grants </w:t>
      </w:r>
    </w:p>
    <w:p>
      <w:pPr>
        <w:spacing w:before="0" w:after="140" w:line="259"/>
        <w:ind w:right="60" w:left="0" w:firstLine="0"/>
        <w:jc w:val="left"/>
        <w:rPr>
          <w:rFonts w:ascii="Garamond" w:hAnsi="Garamond" w:cs="Garamond" w:eastAsia="Garamond"/>
          <w:color w:val="000000"/>
          <w:spacing w:val="0"/>
          <w:position w:val="0"/>
          <w:sz w:val="24"/>
          <w:shd w:fill="auto" w:val="clear"/>
        </w:rPr>
      </w:pP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The Anglican Diocese of Toronto Foundation (ADTF) welcomes applications on behalf of churches and organizations to its regular grants program that fall within the Anglican Diocese of Toronto. The ADTF provides assistance in the form of grants at the discretion of its Board of Directors to projects that align with the mission statement of ADTF. </w:t>
      </w:r>
    </w:p>
    <w:p>
      <w:pPr>
        <w:spacing w:before="0" w:after="24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MISSION: </w:t>
      </w:r>
      <w:r>
        <w:rPr>
          <w:rFonts w:ascii="Garamond" w:hAnsi="Garamond" w:cs="Garamond" w:eastAsia="Garamond"/>
          <w:color w:val="000000"/>
          <w:spacing w:val="0"/>
          <w:position w:val="0"/>
          <w:sz w:val="24"/>
          <w:shd w:fill="auto" w:val="clear"/>
        </w:rPr>
        <w:t xml:space="preserve">The Anglican Diocese of Toronto Foundation exists to support ministries of the Anglican Church throughout the Toronto Diocese, by enabling connection, fostering innovation, stewarding resources, and connecting generous donors to their philanthropic goals. </w:t>
      </w:r>
    </w:p>
    <w:p>
      <w:pPr>
        <w:spacing w:before="0" w:after="240" w:line="240"/>
        <w:ind w:right="0" w:left="0" w:firstLine="0"/>
        <w:jc w:val="left"/>
        <w:rPr>
          <w:rFonts w:ascii="Calibri" w:hAnsi="Calibri" w:cs="Calibri" w:eastAsia="Calibri"/>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The Anglican Diocese of Toronto Foundation invites you to support an initiative that resonates with the harmony of community and creativity: the Douglas C. Cowling Bursary in Liturgical Music. Established by friends and family to honor Mr. Cowling’s legacy, this bursary is a testament to his life’s work</w:t>
      </w:r>
      <w:r>
        <w:rPr>
          <w:rFonts w:ascii="Calibri" w:hAnsi="Calibri" w:cs="Calibri" w:eastAsia="Calibri"/>
          <w:color w:val="000000"/>
          <w:spacing w:val="0"/>
          <w:position w:val="0"/>
          <w:sz w:val="24"/>
          <w:shd w:fill="auto" w:val="clear"/>
        </w:rPr>
        <w:t xml:space="preserve">—enhancing worship through music that speaks to all ages and stages of faith.</w:t>
      </w:r>
    </w:p>
    <w:p>
      <w:pPr>
        <w:spacing w:before="0" w:after="24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Douglas Cowling was a maestro of liturgical music, whose passion and dedication to accessible music and liturgical experimentation left an indelible mark on parishes across the Diocese and beyond. Following his death in 2017, this bursary was created to continue his mission, fostering a ministry of music that includes and inspires everyone.</w:t>
      </w:r>
    </w:p>
    <w:p>
      <w:pPr>
        <w:spacing w:before="0" w:after="299"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The following definitions and criteria are given to help you prepare an application that will enable the Board of Directors to understand your project and how it reflects the mission of ADTF. </w:t>
      </w:r>
    </w:p>
    <w:p>
      <w:pPr>
        <w:spacing w:before="0" w:after="0" w:line="249"/>
        <w:ind w:right="19" w:left="36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The Cowling Bursary stands ready to support this period of revitalization. With awards ranging from $5,000 to $10,000, the bursary offers parish musicians the means to deepen their liturgical training or embark on creative programming that engages their entire community.</w:t>
      </w:r>
    </w:p>
    <w:p>
      <w:pPr>
        <w:spacing w:before="0" w:after="0" w:line="249"/>
        <w:ind w:right="19" w:left="360" w:firstLine="0"/>
        <w:jc w:val="left"/>
        <w:rPr>
          <w:rFonts w:ascii="Garamond" w:hAnsi="Garamond" w:cs="Garamond" w:eastAsia="Garamond"/>
          <w:color w:val="000000"/>
          <w:spacing w:val="0"/>
          <w:position w:val="0"/>
          <w:sz w:val="24"/>
          <w:shd w:fill="auto" w:val="clear"/>
        </w:rPr>
      </w:pP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Deadlines:</w:t>
      </w:r>
      <w:r>
        <w:rPr>
          <w:rFonts w:ascii="Garamond" w:hAnsi="Garamond" w:cs="Garamond" w:eastAsia="Garamond"/>
          <w:color w:val="000000"/>
          <w:spacing w:val="0"/>
          <w:position w:val="0"/>
          <w:sz w:val="24"/>
          <w:shd w:fill="auto" w:val="clear"/>
        </w:rPr>
        <w:t xml:space="preserve"> ADTF accepts applications annually as follows by December 30th. Completed applications </w:t>
      </w:r>
      <w:r>
        <w:rPr>
          <w:rFonts w:ascii="Garamond" w:hAnsi="Garamond" w:cs="Garamond" w:eastAsia="Garamond"/>
          <w:color w:val="000000"/>
          <w:spacing w:val="0"/>
          <w:position w:val="0"/>
          <w:sz w:val="24"/>
          <w:u w:val="single"/>
          <w:shd w:fill="auto" w:val="clear"/>
        </w:rPr>
        <w:t xml:space="preserve">must be received by that deadline</w:t>
      </w:r>
      <w:r>
        <w:rPr>
          <w:rFonts w:ascii="Garamond" w:hAnsi="Garamond" w:cs="Garamond" w:eastAsia="Garamond"/>
          <w:color w:val="000000"/>
          <w:spacing w:val="0"/>
          <w:position w:val="0"/>
          <w:sz w:val="24"/>
          <w:shd w:fill="auto" w:val="clear"/>
        </w:rPr>
        <w:t xml:space="preserve"> in order to be reviewed by the Board of Directors. </w:t>
      </w: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Grants are to be exclusively awarded to projects operating within the Anglican Diocese of Toronto.</w:t>
      </w:r>
    </w:p>
    <w:p>
      <w:pPr>
        <w:keepNext w:val="true"/>
        <w:keepLines w:val="true"/>
        <w:spacing w:before="0" w:after="50" w:line="259"/>
        <w:ind w:right="0" w:left="0" w:firstLine="0"/>
        <w:jc w:val="left"/>
        <w:rPr>
          <w:rFonts w:ascii="Garamond" w:hAnsi="Garamond" w:cs="Garamond" w:eastAsia="Garamond"/>
          <w:b/>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Grant Categories </w:t>
      </w:r>
    </w:p>
    <w:p>
      <w:pPr>
        <w:spacing w:before="0" w:after="41" w:line="249"/>
        <w:ind w:right="19" w:left="720" w:firstLine="0"/>
        <w:jc w:val="left"/>
        <w:rPr>
          <w:rFonts w:ascii="Garamond" w:hAnsi="Garamond" w:cs="Garamond" w:eastAsia="Garamond"/>
          <w:color w:val="000000"/>
          <w:spacing w:val="0"/>
          <w:position w:val="0"/>
          <w:sz w:val="24"/>
          <w:shd w:fill="auto" w:val="clear"/>
        </w:rPr>
      </w:pPr>
    </w:p>
    <w:p>
      <w:pPr>
        <w:numPr>
          <w:ilvl w:val="0"/>
          <w:numId w:val="12"/>
        </w:numPr>
        <w:spacing w:before="0" w:after="41"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ADTF funding will be to a maximum $5,000 to $10,000 each year to a parish </w:t>
      </w:r>
    </w:p>
    <w:p>
      <w:pPr>
        <w:spacing w:before="0" w:after="41" w:line="249"/>
        <w:ind w:right="19" w:left="10" w:hanging="10"/>
        <w:jc w:val="left"/>
        <w:rPr>
          <w:rFonts w:ascii="Garamond" w:hAnsi="Garamond" w:cs="Garamond" w:eastAsia="Garamond"/>
          <w:color w:val="000000"/>
          <w:spacing w:val="0"/>
          <w:position w:val="0"/>
          <w:sz w:val="24"/>
          <w:shd w:fill="auto" w:val="clear"/>
        </w:rPr>
      </w:pPr>
    </w:p>
    <w:p>
      <w:pPr>
        <w:spacing w:before="0" w:after="51"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Limitations on disbursements.</w:t>
      </w:r>
      <w:r>
        <w:rPr>
          <w:rFonts w:ascii="Garamond" w:hAnsi="Garamond" w:cs="Garamond" w:eastAsia="Garamond"/>
          <w:color w:val="000000"/>
          <w:spacing w:val="0"/>
          <w:position w:val="0"/>
          <w:sz w:val="24"/>
          <w:shd w:fill="auto" w:val="clear"/>
        </w:rPr>
        <w:t xml:space="preserve"> No grant will normally be awarded: </w:t>
      </w:r>
    </w:p>
    <w:p>
      <w:pPr>
        <w:numPr>
          <w:ilvl w:val="0"/>
          <w:numId w:val="15"/>
        </w:numPr>
        <w:spacing w:before="0" w:after="68"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to an individual. </w:t>
      </w:r>
    </w:p>
    <w:p>
      <w:pPr>
        <w:numPr>
          <w:ilvl w:val="0"/>
          <w:numId w:val="15"/>
        </w:numPr>
        <w:spacing w:before="0" w:after="68"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for the installation or repair of stained-glass windows. </w:t>
      </w:r>
    </w:p>
    <w:p>
      <w:pPr>
        <w:numPr>
          <w:ilvl w:val="0"/>
          <w:numId w:val="15"/>
        </w:numPr>
        <w:spacing w:before="0" w:after="235"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for travel expenses to attend events, such as conferences. </w:t>
      </w:r>
    </w:p>
    <w:p>
      <w:pPr>
        <w:spacing w:before="0" w:after="160" w:line="278"/>
        <w:ind w:right="0" w:left="0" w:firstLine="0"/>
        <w:jc w:val="left"/>
        <w:rPr>
          <w:rFonts w:ascii="Garamond" w:hAnsi="Garamond" w:cs="Garamond" w:eastAsia="Garamond"/>
          <w:b/>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 </w:t>
      </w:r>
    </w:p>
    <w:p>
      <w:pPr>
        <w:spacing w:before="0" w:after="160" w:line="278"/>
        <w:ind w:right="0" w:left="0" w:firstLine="0"/>
        <w:jc w:val="left"/>
        <w:rPr>
          <w:rFonts w:ascii="Garamond" w:hAnsi="Garamond" w:cs="Garamond" w:eastAsia="Garamond"/>
          <w:b/>
          <w:color w:val="000000"/>
          <w:spacing w:val="0"/>
          <w:position w:val="0"/>
          <w:sz w:val="24"/>
          <w:shd w:fill="auto" w:val="clear"/>
        </w:rPr>
      </w:pPr>
    </w:p>
    <w:p>
      <w:pPr>
        <w:spacing w:before="0" w:after="235" w:line="249"/>
        <w:ind w:right="19" w:left="-4" w:hanging="10"/>
        <w:jc w:val="left"/>
        <w:rPr>
          <w:rFonts w:ascii="Garamond" w:hAnsi="Garamond" w:cs="Garamond" w:eastAsia="Garamond"/>
          <w:b/>
          <w:color w:val="000000"/>
          <w:spacing w:val="0"/>
          <w:position w:val="0"/>
          <w:sz w:val="24"/>
          <w:shd w:fill="auto" w:val="clear"/>
        </w:rPr>
      </w:pPr>
    </w:p>
    <w:p>
      <w:pPr>
        <w:spacing w:before="0" w:after="235" w:line="249"/>
        <w:ind w:right="19" w:left="-4" w:hanging="10"/>
        <w:jc w:val="left"/>
        <w:rPr>
          <w:rFonts w:ascii="Garamond" w:hAnsi="Garamond" w:cs="Garamond" w:eastAsia="Garamond"/>
          <w:b/>
          <w:color w:val="000000"/>
          <w:spacing w:val="0"/>
          <w:position w:val="0"/>
          <w:sz w:val="24"/>
          <w:shd w:fill="auto" w:val="clear"/>
        </w:rPr>
      </w:pP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Time-sensitive:  </w:t>
      </w:r>
      <w:r>
        <w:rPr>
          <w:rFonts w:ascii="Garamond" w:hAnsi="Garamond" w:cs="Garamond" w:eastAsia="Garamond"/>
          <w:color w:val="000000"/>
          <w:spacing w:val="0"/>
          <w:position w:val="0"/>
          <w:sz w:val="24"/>
          <w:shd w:fill="auto" w:val="clear"/>
        </w:rPr>
        <w:t xml:space="preserve">Applications will be reviewed in December and January. </w:t>
      </w: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Financially Stable:  </w:t>
      </w:r>
      <w:r>
        <w:rPr>
          <w:rFonts w:ascii="Garamond" w:hAnsi="Garamond" w:cs="Garamond" w:eastAsia="Garamond"/>
          <w:color w:val="000000"/>
          <w:spacing w:val="0"/>
          <w:position w:val="0"/>
          <w:sz w:val="24"/>
          <w:shd w:fill="auto" w:val="clear"/>
        </w:rPr>
        <w:t xml:space="preserve">Parishes must demonstrate a clear financial need for assistance </w:t>
      </w:r>
    </w:p>
    <w:p>
      <w:pPr>
        <w:spacing w:before="0" w:after="59"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Diocesan or governing body responsibilities.</w:t>
      </w:r>
      <w:r>
        <w:rPr>
          <w:rFonts w:ascii="Garamond" w:hAnsi="Garamond" w:cs="Garamond" w:eastAsia="Garamond"/>
          <w:color w:val="000000"/>
          <w:spacing w:val="0"/>
          <w:position w:val="0"/>
          <w:sz w:val="24"/>
          <w:shd w:fill="auto" w:val="clear"/>
        </w:rPr>
        <w:t xml:space="preserve"> Prior to submitting an application, the parish or Ministry must have: </w:t>
      </w:r>
    </w:p>
    <w:p>
      <w:pPr>
        <w:numPr>
          <w:ilvl w:val="0"/>
          <w:numId w:val="20"/>
        </w:numPr>
        <w:spacing w:before="0" w:after="52"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a clear definition supporting financial need </w:t>
      </w:r>
    </w:p>
    <w:p>
      <w:pPr>
        <w:numPr>
          <w:ilvl w:val="0"/>
          <w:numId w:val="20"/>
        </w:numPr>
        <w:spacing w:before="0" w:after="10" w:line="249"/>
        <w:ind w:right="19"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given permission to submit an application to ADTF. </w:t>
      </w:r>
    </w:p>
    <w:p>
      <w:pPr>
        <w:spacing w:before="0" w:after="214" w:line="259"/>
        <w:ind w:right="0" w:left="1"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 </w:t>
      </w: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Priority.</w:t>
      </w:r>
      <w:r>
        <w:rPr>
          <w:rFonts w:ascii="Garamond" w:hAnsi="Garamond" w:cs="Garamond" w:eastAsia="Garamond"/>
          <w:color w:val="000000"/>
          <w:spacing w:val="0"/>
          <w:position w:val="0"/>
          <w:sz w:val="24"/>
          <w:shd w:fill="auto" w:val="clear"/>
        </w:rPr>
        <w:t xml:space="preserve"> Priority will be given to those applicants that have not received a grant in the past five years. </w:t>
      </w:r>
    </w:p>
    <w:p>
      <w:pPr>
        <w:spacing w:before="0" w:after="235" w:line="249"/>
        <w:ind w:right="19" w:left="-4" w:hanging="10"/>
        <w:jc w:val="left"/>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ADTF recognition. </w:t>
      </w:r>
      <w:r>
        <w:rPr>
          <w:rFonts w:ascii="Garamond" w:hAnsi="Garamond" w:cs="Garamond" w:eastAsia="Garamond"/>
          <w:color w:val="000000"/>
          <w:spacing w:val="0"/>
          <w:position w:val="0"/>
          <w:sz w:val="24"/>
          <w:shd w:fill="auto" w:val="clear"/>
        </w:rPr>
        <w:t xml:space="preserve">The applicant agrees to recognize ADTF as a supporter of their Ministry </w:t>
      </w:r>
    </w:p>
    <w:p>
      <w:pPr>
        <w:spacing w:before="0" w:after="240" w:line="240"/>
        <w:ind w:right="139" w:left="0" w:firstLine="0"/>
        <w:jc w:val="both"/>
        <w:rPr>
          <w:rFonts w:ascii="Garamond" w:hAnsi="Garamond" w:cs="Garamond" w:eastAsia="Garamond"/>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Reporting. </w:t>
      </w:r>
      <w:r>
        <w:rPr>
          <w:rFonts w:ascii="Garamond" w:hAnsi="Garamond" w:cs="Garamond" w:eastAsia="Garamond"/>
          <w:color w:val="000000"/>
          <w:spacing w:val="0"/>
          <w:position w:val="0"/>
          <w:sz w:val="24"/>
          <w:shd w:fill="auto" w:val="clear"/>
        </w:rPr>
        <w:t xml:space="preserve">If funding is awarded, it must be claimed within a 12-month period, the applicant must submit a Grant Recipient Report to ADTF, following the guidelines provided.  </w:t>
      </w:r>
    </w:p>
    <w:p>
      <w:pPr>
        <w:spacing w:before="0" w:after="240" w:line="240"/>
        <w:ind w:right="139" w:left="0" w:firstLine="0"/>
        <w:jc w:val="both"/>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There will be a 6 month check-in to report on the status of the project</w:t>
      </w:r>
    </w:p>
    <w:p>
      <w:pPr>
        <w:spacing w:before="0" w:after="2842" w:line="259"/>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2">
    <w:abstractNumId w:val="12"/>
  </w:num>
  <w:num w:numId="15">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